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2220"/>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6"/>
        <w:gridCol w:w="1097"/>
        <w:gridCol w:w="6286"/>
        <w:gridCol w:w="4989"/>
      </w:tblGrid>
      <w:tr w:rsidR="00D27482" w:rsidRPr="007F17D5" w:rsidTr="007F17D5">
        <w:tc>
          <w:tcPr>
            <w:tcW w:w="1596" w:type="dxa"/>
          </w:tcPr>
          <w:p w:rsidR="00D27482" w:rsidRPr="007F17D5" w:rsidRDefault="00D27482" w:rsidP="007F17D5">
            <w:pPr>
              <w:ind w:left="0"/>
              <w:rPr>
                <w:b/>
                <w:i/>
              </w:rPr>
            </w:pPr>
            <w:r w:rsidRPr="007F17D5">
              <w:rPr>
                <w:b/>
                <w:i/>
              </w:rPr>
              <w:t>Member</w:t>
            </w:r>
          </w:p>
        </w:tc>
        <w:tc>
          <w:tcPr>
            <w:tcW w:w="1097" w:type="dxa"/>
          </w:tcPr>
          <w:p w:rsidR="00D27482" w:rsidRPr="007F17D5" w:rsidRDefault="00D27482" w:rsidP="007F17D5">
            <w:pPr>
              <w:ind w:left="0"/>
              <w:jc w:val="center"/>
              <w:rPr>
                <w:b/>
                <w:i/>
              </w:rPr>
            </w:pPr>
            <w:r w:rsidRPr="007F17D5">
              <w:rPr>
                <w:b/>
                <w:i/>
              </w:rPr>
              <w:t>Rating</w:t>
            </w:r>
          </w:p>
        </w:tc>
        <w:tc>
          <w:tcPr>
            <w:tcW w:w="6286" w:type="dxa"/>
          </w:tcPr>
          <w:p w:rsidR="00D27482" w:rsidRPr="007F17D5" w:rsidRDefault="00D27482" w:rsidP="007F17D5">
            <w:pPr>
              <w:ind w:left="0"/>
              <w:jc w:val="center"/>
              <w:rPr>
                <w:b/>
                <w:i/>
              </w:rPr>
            </w:pPr>
            <w:r w:rsidRPr="007F17D5">
              <w:rPr>
                <w:b/>
                <w:i/>
              </w:rPr>
              <w:t>Liked</w:t>
            </w:r>
          </w:p>
        </w:tc>
        <w:tc>
          <w:tcPr>
            <w:tcW w:w="4989" w:type="dxa"/>
          </w:tcPr>
          <w:p w:rsidR="00D27482" w:rsidRPr="007F17D5" w:rsidRDefault="00D27482" w:rsidP="007F17D5">
            <w:pPr>
              <w:ind w:left="0"/>
              <w:jc w:val="center"/>
              <w:rPr>
                <w:b/>
                <w:i/>
              </w:rPr>
            </w:pPr>
            <w:r w:rsidRPr="007F17D5">
              <w:rPr>
                <w:b/>
                <w:i/>
              </w:rPr>
              <w:t>Didn’t Like</w:t>
            </w:r>
          </w:p>
        </w:tc>
      </w:tr>
      <w:tr w:rsidR="00D27482" w:rsidRPr="007F17D5" w:rsidTr="007F17D5">
        <w:tc>
          <w:tcPr>
            <w:tcW w:w="1596" w:type="dxa"/>
          </w:tcPr>
          <w:p w:rsidR="00D27482" w:rsidRPr="007F17D5" w:rsidRDefault="00D27482" w:rsidP="007F17D5">
            <w:pPr>
              <w:ind w:left="0"/>
            </w:pPr>
            <w:r w:rsidRPr="007F17D5">
              <w:t>Catherine</w:t>
            </w:r>
          </w:p>
        </w:tc>
        <w:tc>
          <w:tcPr>
            <w:tcW w:w="1097" w:type="dxa"/>
          </w:tcPr>
          <w:p w:rsidR="00D27482" w:rsidRPr="007F17D5" w:rsidRDefault="00D27482" w:rsidP="007F17D5">
            <w:pPr>
              <w:ind w:left="0"/>
              <w:jc w:val="center"/>
            </w:pPr>
          </w:p>
        </w:tc>
        <w:tc>
          <w:tcPr>
            <w:tcW w:w="6286" w:type="dxa"/>
          </w:tcPr>
          <w:p w:rsidR="00D27482" w:rsidRPr="007F17D5" w:rsidRDefault="00D27482" w:rsidP="007F17D5">
            <w:pPr>
              <w:ind w:left="0"/>
              <w:rPr>
                <w:sz w:val="20"/>
              </w:rPr>
            </w:pPr>
          </w:p>
        </w:tc>
        <w:tc>
          <w:tcPr>
            <w:tcW w:w="4989" w:type="dxa"/>
          </w:tcPr>
          <w:p w:rsidR="00D27482" w:rsidRPr="007F17D5" w:rsidRDefault="00D27482" w:rsidP="007F17D5">
            <w:pPr>
              <w:ind w:left="0"/>
              <w:rPr>
                <w:sz w:val="20"/>
              </w:rPr>
            </w:pPr>
          </w:p>
        </w:tc>
      </w:tr>
      <w:tr w:rsidR="00D27482" w:rsidRPr="007F17D5" w:rsidTr="007F17D5">
        <w:tc>
          <w:tcPr>
            <w:tcW w:w="1596" w:type="dxa"/>
          </w:tcPr>
          <w:p w:rsidR="00D27482" w:rsidRPr="007F17D5" w:rsidRDefault="00D27482" w:rsidP="007F17D5">
            <w:pPr>
              <w:ind w:left="0"/>
            </w:pPr>
            <w:proofErr w:type="spellStart"/>
            <w:r w:rsidRPr="007F17D5">
              <w:t>Ginney</w:t>
            </w:r>
            <w:proofErr w:type="spellEnd"/>
          </w:p>
        </w:tc>
        <w:tc>
          <w:tcPr>
            <w:tcW w:w="1097" w:type="dxa"/>
          </w:tcPr>
          <w:p w:rsidR="00D27482" w:rsidRPr="007F17D5" w:rsidRDefault="00D27482" w:rsidP="007F17D5">
            <w:pPr>
              <w:ind w:left="0"/>
              <w:jc w:val="center"/>
            </w:pPr>
            <w:r w:rsidRPr="007F17D5">
              <w:t>5</w:t>
            </w:r>
          </w:p>
        </w:tc>
        <w:tc>
          <w:tcPr>
            <w:tcW w:w="6286" w:type="dxa"/>
          </w:tcPr>
          <w:p w:rsidR="00D27482" w:rsidRPr="007F17D5" w:rsidRDefault="00D27482" w:rsidP="007F17D5">
            <w:pPr>
              <w:ind w:left="0"/>
              <w:rPr>
                <w:sz w:val="20"/>
              </w:rPr>
            </w:pPr>
            <w:r w:rsidRPr="007F17D5">
              <w:rPr>
                <w:sz w:val="20"/>
              </w:rPr>
              <w:t xml:space="preserve">I think his writing style is superb. Dialogue, scene-settings, </w:t>
            </w:r>
            <w:proofErr w:type="gramStart"/>
            <w:r w:rsidRPr="007F17D5">
              <w:rPr>
                <w:sz w:val="20"/>
              </w:rPr>
              <w:t>choice</w:t>
            </w:r>
            <w:proofErr w:type="gramEnd"/>
            <w:r w:rsidRPr="007F17D5">
              <w:rPr>
                <w:sz w:val="20"/>
              </w:rPr>
              <w:t xml:space="preserve"> of words -- everything is concise and clear. I love his dark humor because of its poignancy. I would’ve liked to hear the speech, even with its stupid jokes and silliness. Quoting Mark, “And then he would say something that cut to the heart of the matter and was outrageous and true ...”</w:t>
            </w:r>
          </w:p>
        </w:tc>
        <w:tc>
          <w:tcPr>
            <w:tcW w:w="4989" w:type="dxa"/>
          </w:tcPr>
          <w:p w:rsidR="00D27482" w:rsidRPr="007F17D5" w:rsidRDefault="00D27482" w:rsidP="007F17D5">
            <w:pPr>
              <w:ind w:left="0"/>
              <w:rPr>
                <w:sz w:val="20"/>
              </w:rPr>
            </w:pPr>
            <w:r w:rsidRPr="007F17D5">
              <w:rPr>
                <w:sz w:val="20"/>
              </w:rPr>
              <w:t>Short stories, in general, tend to be forgettable for me. I get the impact when I read them, and that stays with me, but not the story. As we mentioned in discussion, Vonnegut might have had a different plan but didn’t get to it.</w:t>
            </w:r>
          </w:p>
        </w:tc>
      </w:tr>
      <w:tr w:rsidR="00D27482" w:rsidRPr="007F17D5" w:rsidTr="007F17D5">
        <w:tc>
          <w:tcPr>
            <w:tcW w:w="1596" w:type="dxa"/>
          </w:tcPr>
          <w:p w:rsidR="00D27482" w:rsidRPr="007F17D5" w:rsidRDefault="00D27482" w:rsidP="007F17D5">
            <w:pPr>
              <w:ind w:left="0"/>
            </w:pPr>
            <w:r w:rsidRPr="007F17D5">
              <w:t>Jackie</w:t>
            </w:r>
          </w:p>
        </w:tc>
        <w:tc>
          <w:tcPr>
            <w:tcW w:w="1097" w:type="dxa"/>
          </w:tcPr>
          <w:p w:rsidR="00D27482" w:rsidRPr="007F17D5" w:rsidRDefault="00D27482" w:rsidP="007F17D5">
            <w:pPr>
              <w:ind w:left="0"/>
              <w:jc w:val="center"/>
            </w:pPr>
            <w:r w:rsidRPr="007F17D5">
              <w:t>1</w:t>
            </w:r>
          </w:p>
        </w:tc>
        <w:tc>
          <w:tcPr>
            <w:tcW w:w="6286" w:type="dxa"/>
          </w:tcPr>
          <w:p w:rsidR="00D27482" w:rsidRPr="007F17D5" w:rsidRDefault="00D27482" w:rsidP="007F17D5">
            <w:pPr>
              <w:ind w:left="0"/>
              <w:rPr>
                <w:sz w:val="20"/>
              </w:rPr>
            </w:pPr>
            <w:r w:rsidRPr="007F17D5">
              <w:rPr>
                <w:sz w:val="20"/>
              </w:rPr>
              <w:t>The letter was amazing</w:t>
            </w:r>
          </w:p>
        </w:tc>
        <w:tc>
          <w:tcPr>
            <w:tcW w:w="4989" w:type="dxa"/>
          </w:tcPr>
          <w:p w:rsidR="00D27482" w:rsidRPr="007F17D5" w:rsidRDefault="00D27482" w:rsidP="007F17D5">
            <w:pPr>
              <w:ind w:left="0"/>
              <w:rPr>
                <w:sz w:val="20"/>
              </w:rPr>
            </w:pPr>
            <w:r w:rsidRPr="007F17D5">
              <w:rPr>
                <w:sz w:val="20"/>
              </w:rPr>
              <w:t xml:space="preserve">Just about everything else.  Mark should not have published these works. </w:t>
            </w:r>
            <w:bookmarkStart w:id="0" w:name="_GoBack"/>
            <w:bookmarkEnd w:id="0"/>
          </w:p>
        </w:tc>
      </w:tr>
      <w:tr w:rsidR="00D27482" w:rsidRPr="007F17D5" w:rsidTr="007F17D5">
        <w:tc>
          <w:tcPr>
            <w:tcW w:w="1596" w:type="dxa"/>
          </w:tcPr>
          <w:p w:rsidR="00D27482" w:rsidRPr="007F17D5" w:rsidRDefault="00D27482" w:rsidP="007F17D5">
            <w:pPr>
              <w:ind w:left="0"/>
            </w:pPr>
            <w:r w:rsidRPr="007F17D5">
              <w:t>Linda</w:t>
            </w:r>
          </w:p>
        </w:tc>
        <w:tc>
          <w:tcPr>
            <w:tcW w:w="1097" w:type="dxa"/>
          </w:tcPr>
          <w:p w:rsidR="00D27482" w:rsidRPr="007F17D5" w:rsidRDefault="00EC1DB5" w:rsidP="00C73F1B">
            <w:pPr>
              <w:ind w:left="0"/>
              <w:jc w:val="center"/>
            </w:pPr>
            <w:r>
              <w:t>2</w:t>
            </w:r>
          </w:p>
        </w:tc>
        <w:tc>
          <w:tcPr>
            <w:tcW w:w="6286" w:type="dxa"/>
          </w:tcPr>
          <w:p w:rsidR="00D27482" w:rsidRPr="007F17D5" w:rsidRDefault="00EC1DB5" w:rsidP="007F17D5">
            <w:pPr>
              <w:ind w:left="0"/>
            </w:pPr>
            <w:r>
              <w:t>I liked the letter very much. I also like the sharing of the relationships between father and son. I liked that I finally discovered that he was an optimist in pessimist clothing.</w:t>
            </w:r>
          </w:p>
        </w:tc>
        <w:tc>
          <w:tcPr>
            <w:tcW w:w="4989" w:type="dxa"/>
          </w:tcPr>
          <w:p w:rsidR="00D27482" w:rsidRPr="00EC1DB5" w:rsidRDefault="00EC1DB5" w:rsidP="007F17D5">
            <w:pPr>
              <w:ind w:left="0"/>
            </w:pPr>
            <w:r>
              <w:t xml:space="preserve">I often felt like I was inside his head watching him work out his horror remains of the war. I didn’t like that. It was very heavy, sad, and not much light at the end of the tunnel. I did not enjoy reading it, but I am grateful for the book club’s introduction of Kurt to me and I think I will read some of his other works. I’m </w:t>
            </w:r>
            <w:proofErr w:type="gramStart"/>
            <w:r>
              <w:t>trusting</w:t>
            </w:r>
            <w:proofErr w:type="gramEnd"/>
            <w:r>
              <w:t xml:space="preserve"> I will like them better.</w:t>
            </w:r>
          </w:p>
        </w:tc>
      </w:tr>
      <w:tr w:rsidR="00D27482" w:rsidRPr="007F17D5" w:rsidTr="007F17D5">
        <w:tc>
          <w:tcPr>
            <w:tcW w:w="1596" w:type="dxa"/>
          </w:tcPr>
          <w:p w:rsidR="00D27482" w:rsidRPr="007F17D5" w:rsidRDefault="00D27482" w:rsidP="007F17D5">
            <w:pPr>
              <w:ind w:left="0"/>
            </w:pPr>
            <w:r w:rsidRPr="007F17D5">
              <w:t>Mary</w:t>
            </w:r>
          </w:p>
        </w:tc>
        <w:tc>
          <w:tcPr>
            <w:tcW w:w="1097" w:type="dxa"/>
          </w:tcPr>
          <w:p w:rsidR="00D27482" w:rsidRPr="007F17D5" w:rsidRDefault="00D27482" w:rsidP="007F17D5">
            <w:pPr>
              <w:ind w:left="0"/>
            </w:pPr>
          </w:p>
        </w:tc>
        <w:tc>
          <w:tcPr>
            <w:tcW w:w="6286" w:type="dxa"/>
          </w:tcPr>
          <w:p w:rsidR="00D27482" w:rsidRPr="007F17D5" w:rsidRDefault="00D27482" w:rsidP="007F17D5">
            <w:pPr>
              <w:ind w:left="0"/>
            </w:pPr>
          </w:p>
        </w:tc>
        <w:tc>
          <w:tcPr>
            <w:tcW w:w="4989" w:type="dxa"/>
          </w:tcPr>
          <w:p w:rsidR="00D27482" w:rsidRPr="007F17D5" w:rsidRDefault="00D27482" w:rsidP="007F17D5">
            <w:pPr>
              <w:ind w:left="0"/>
            </w:pPr>
          </w:p>
        </w:tc>
      </w:tr>
      <w:tr w:rsidR="00D27482" w:rsidRPr="007F17D5" w:rsidTr="007F17D5">
        <w:tc>
          <w:tcPr>
            <w:tcW w:w="1596" w:type="dxa"/>
          </w:tcPr>
          <w:p w:rsidR="00D27482" w:rsidRPr="007F17D5" w:rsidRDefault="00D27482" w:rsidP="007F17D5">
            <w:pPr>
              <w:ind w:left="0"/>
            </w:pPr>
            <w:r w:rsidRPr="007F17D5">
              <w:t>Maureen</w:t>
            </w:r>
          </w:p>
        </w:tc>
        <w:tc>
          <w:tcPr>
            <w:tcW w:w="1097" w:type="dxa"/>
          </w:tcPr>
          <w:p w:rsidR="00D27482" w:rsidRPr="007F17D5" w:rsidRDefault="00D27482" w:rsidP="007F17D5">
            <w:pPr>
              <w:ind w:left="0"/>
              <w:jc w:val="center"/>
            </w:pPr>
            <w:r w:rsidRPr="007F17D5">
              <w:t>3</w:t>
            </w:r>
          </w:p>
        </w:tc>
        <w:tc>
          <w:tcPr>
            <w:tcW w:w="6286" w:type="dxa"/>
          </w:tcPr>
          <w:p w:rsidR="00D27482" w:rsidRPr="007F17D5" w:rsidRDefault="00D27482" w:rsidP="007F17D5">
            <w:pPr>
              <w:ind w:left="0"/>
              <w:rPr>
                <w:sz w:val="20"/>
              </w:rPr>
            </w:pPr>
            <w:r w:rsidRPr="007F17D5">
              <w:rPr>
                <w:sz w:val="20"/>
              </w:rPr>
              <w:t>Loved the introduction and the letter.  I enjoyed revisiting Vonnegut’s style and perspective.</w:t>
            </w:r>
          </w:p>
        </w:tc>
        <w:tc>
          <w:tcPr>
            <w:tcW w:w="4989" w:type="dxa"/>
          </w:tcPr>
          <w:p w:rsidR="00D27482" w:rsidRPr="007F17D5" w:rsidRDefault="00D27482" w:rsidP="007F17D5">
            <w:pPr>
              <w:ind w:left="0"/>
              <w:rPr>
                <w:sz w:val="20"/>
              </w:rPr>
            </w:pPr>
            <w:r w:rsidRPr="007F17D5">
              <w:rPr>
                <w:sz w:val="20"/>
              </w:rPr>
              <w:t>The stories had some good aspects, but definitely weren’t the quality we expect from Vonnegut.  In a way it is interesting to see material from an excellent, successful writer that he chose not to publish.</w:t>
            </w:r>
          </w:p>
        </w:tc>
      </w:tr>
      <w:tr w:rsidR="00D27482" w:rsidRPr="007F17D5" w:rsidTr="007F17D5">
        <w:tc>
          <w:tcPr>
            <w:tcW w:w="1596" w:type="dxa"/>
          </w:tcPr>
          <w:p w:rsidR="00D27482" w:rsidRPr="007F17D5" w:rsidRDefault="00D27482" w:rsidP="007F17D5">
            <w:pPr>
              <w:ind w:left="0"/>
            </w:pPr>
            <w:r w:rsidRPr="007F17D5">
              <w:t>Victoria</w:t>
            </w:r>
          </w:p>
        </w:tc>
        <w:tc>
          <w:tcPr>
            <w:tcW w:w="1097" w:type="dxa"/>
          </w:tcPr>
          <w:p w:rsidR="00D27482" w:rsidRPr="007F17D5" w:rsidRDefault="00D27482" w:rsidP="007F17D5">
            <w:pPr>
              <w:ind w:left="0"/>
              <w:jc w:val="center"/>
            </w:pPr>
          </w:p>
        </w:tc>
        <w:tc>
          <w:tcPr>
            <w:tcW w:w="6286" w:type="dxa"/>
          </w:tcPr>
          <w:p w:rsidR="00D27482" w:rsidRPr="007F17D5" w:rsidRDefault="00D27482" w:rsidP="007F17D5">
            <w:pPr>
              <w:ind w:left="0"/>
            </w:pPr>
          </w:p>
        </w:tc>
        <w:tc>
          <w:tcPr>
            <w:tcW w:w="4989" w:type="dxa"/>
          </w:tcPr>
          <w:p w:rsidR="00D27482" w:rsidRPr="007F17D5" w:rsidRDefault="00D27482" w:rsidP="007F17D5">
            <w:pPr>
              <w:ind w:left="0"/>
            </w:pPr>
          </w:p>
        </w:tc>
      </w:tr>
      <w:tr w:rsidR="00D27482" w:rsidRPr="007F17D5" w:rsidTr="007F17D5">
        <w:tc>
          <w:tcPr>
            <w:tcW w:w="1596" w:type="dxa"/>
          </w:tcPr>
          <w:p w:rsidR="00D27482" w:rsidRPr="007F17D5" w:rsidRDefault="00D27482" w:rsidP="007F17D5">
            <w:pPr>
              <w:ind w:left="0"/>
            </w:pPr>
            <w:r w:rsidRPr="007F17D5">
              <w:t>Consensus</w:t>
            </w:r>
          </w:p>
        </w:tc>
        <w:tc>
          <w:tcPr>
            <w:tcW w:w="1097" w:type="dxa"/>
          </w:tcPr>
          <w:p w:rsidR="00D27482" w:rsidRPr="007F17D5" w:rsidRDefault="00C278E3" w:rsidP="007F17D5">
            <w:pPr>
              <w:ind w:left="0"/>
              <w:jc w:val="center"/>
            </w:pPr>
            <w:r>
              <w:t>2.8</w:t>
            </w:r>
          </w:p>
        </w:tc>
        <w:tc>
          <w:tcPr>
            <w:tcW w:w="6286" w:type="dxa"/>
          </w:tcPr>
          <w:p w:rsidR="00D27482" w:rsidRPr="007F17D5" w:rsidRDefault="00D27482" w:rsidP="007F17D5">
            <w:pPr>
              <w:ind w:left="0"/>
              <w:rPr>
                <w:sz w:val="20"/>
              </w:rPr>
            </w:pPr>
            <w:r w:rsidRPr="007F17D5">
              <w:rPr>
                <w:sz w:val="20"/>
              </w:rPr>
              <w:t xml:space="preserve">(avg. of  </w:t>
            </w:r>
            <w:r w:rsidR="00C278E3">
              <w:rPr>
                <w:sz w:val="20"/>
              </w:rPr>
              <w:t xml:space="preserve">4 </w:t>
            </w:r>
            <w:r w:rsidRPr="007F17D5">
              <w:rPr>
                <w:sz w:val="20"/>
              </w:rPr>
              <w:t>ratings)</w:t>
            </w:r>
          </w:p>
        </w:tc>
        <w:tc>
          <w:tcPr>
            <w:tcW w:w="4989" w:type="dxa"/>
          </w:tcPr>
          <w:p w:rsidR="00D27482" w:rsidRPr="007F17D5" w:rsidRDefault="00D27482" w:rsidP="007F17D5">
            <w:pPr>
              <w:ind w:left="0"/>
            </w:pPr>
          </w:p>
        </w:tc>
      </w:tr>
    </w:tbl>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3"/>
        <w:gridCol w:w="5040"/>
      </w:tblGrid>
      <w:tr w:rsidR="00D27482" w:rsidRPr="007F17D5" w:rsidTr="007F17D5">
        <w:tc>
          <w:tcPr>
            <w:tcW w:w="1263" w:type="dxa"/>
          </w:tcPr>
          <w:p w:rsidR="00D27482" w:rsidRPr="007F17D5" w:rsidRDefault="00D27482" w:rsidP="007F17D5">
            <w:pPr>
              <w:ind w:left="0"/>
            </w:pPr>
            <w:r w:rsidRPr="007F17D5">
              <w:t>Date</w:t>
            </w:r>
          </w:p>
        </w:tc>
        <w:tc>
          <w:tcPr>
            <w:tcW w:w="5040" w:type="dxa"/>
          </w:tcPr>
          <w:p w:rsidR="00D27482" w:rsidRPr="007F17D5" w:rsidRDefault="00D27482" w:rsidP="007F17D5">
            <w:pPr>
              <w:ind w:left="0"/>
            </w:pPr>
            <w:r w:rsidRPr="007F17D5">
              <w:t>May 27, 2013</w:t>
            </w:r>
          </w:p>
        </w:tc>
      </w:tr>
      <w:tr w:rsidR="00D27482" w:rsidRPr="007F17D5" w:rsidTr="007F17D5">
        <w:tc>
          <w:tcPr>
            <w:tcW w:w="1263" w:type="dxa"/>
          </w:tcPr>
          <w:p w:rsidR="00D27482" w:rsidRPr="007F17D5" w:rsidRDefault="00D27482" w:rsidP="007F17D5">
            <w:pPr>
              <w:ind w:left="0"/>
            </w:pPr>
            <w:r w:rsidRPr="007F17D5">
              <w:t>Book</w:t>
            </w:r>
          </w:p>
        </w:tc>
        <w:tc>
          <w:tcPr>
            <w:tcW w:w="5040" w:type="dxa"/>
          </w:tcPr>
          <w:p w:rsidR="00D27482" w:rsidRPr="007F17D5" w:rsidRDefault="00D27482" w:rsidP="007F17D5">
            <w:pPr>
              <w:ind w:left="0"/>
            </w:pPr>
            <w:r w:rsidRPr="007F17D5">
              <w:t>Armageddon in Retrospect</w:t>
            </w:r>
          </w:p>
        </w:tc>
      </w:tr>
      <w:tr w:rsidR="00D27482" w:rsidRPr="007F17D5" w:rsidTr="007F17D5">
        <w:tc>
          <w:tcPr>
            <w:tcW w:w="1263" w:type="dxa"/>
          </w:tcPr>
          <w:p w:rsidR="00D27482" w:rsidRPr="007F17D5" w:rsidRDefault="00D27482" w:rsidP="007F17D5">
            <w:pPr>
              <w:ind w:left="0"/>
            </w:pPr>
            <w:r w:rsidRPr="007F17D5">
              <w:t>Author</w:t>
            </w:r>
          </w:p>
        </w:tc>
        <w:tc>
          <w:tcPr>
            <w:tcW w:w="5040" w:type="dxa"/>
          </w:tcPr>
          <w:p w:rsidR="00D27482" w:rsidRPr="007F17D5" w:rsidRDefault="00D27482" w:rsidP="007F17D5">
            <w:pPr>
              <w:ind w:left="0"/>
            </w:pPr>
            <w:r w:rsidRPr="007F17D5">
              <w:t>Kurt Vonnegut</w:t>
            </w:r>
          </w:p>
        </w:tc>
      </w:tr>
      <w:tr w:rsidR="00D27482" w:rsidRPr="007F17D5" w:rsidTr="007F17D5">
        <w:tc>
          <w:tcPr>
            <w:tcW w:w="1263" w:type="dxa"/>
          </w:tcPr>
          <w:p w:rsidR="00D27482" w:rsidRPr="007F17D5" w:rsidRDefault="00D27482" w:rsidP="007F17D5">
            <w:pPr>
              <w:ind w:left="0"/>
            </w:pPr>
            <w:r w:rsidRPr="007F17D5">
              <w:t>Host</w:t>
            </w:r>
          </w:p>
        </w:tc>
        <w:tc>
          <w:tcPr>
            <w:tcW w:w="5040" w:type="dxa"/>
          </w:tcPr>
          <w:p w:rsidR="00D27482" w:rsidRPr="007F17D5" w:rsidRDefault="00D27482" w:rsidP="007F17D5">
            <w:pPr>
              <w:ind w:left="0"/>
            </w:pPr>
            <w:proofErr w:type="spellStart"/>
            <w:r w:rsidRPr="007F17D5">
              <w:t>Ginney</w:t>
            </w:r>
            <w:proofErr w:type="spellEnd"/>
          </w:p>
        </w:tc>
      </w:tr>
    </w:tbl>
    <w:p w:rsidR="00D27482" w:rsidRDefault="00D27482"/>
    <w:p w:rsidR="00D27482" w:rsidRDefault="00D27482"/>
    <w:p w:rsidR="00D27482" w:rsidRDefault="00D27482"/>
    <w:sectPr w:rsidR="00D27482" w:rsidSect="00742412">
      <w:head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B53" w:rsidRDefault="008D5B53" w:rsidP="00742412">
      <w:r>
        <w:separator/>
      </w:r>
    </w:p>
  </w:endnote>
  <w:endnote w:type="continuationSeparator" w:id="0">
    <w:p w:rsidR="008D5B53" w:rsidRDefault="008D5B53" w:rsidP="0074241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B53" w:rsidRDefault="008D5B53" w:rsidP="00742412">
      <w:r>
        <w:separator/>
      </w:r>
    </w:p>
  </w:footnote>
  <w:footnote w:type="continuationSeparator" w:id="0">
    <w:p w:rsidR="008D5B53" w:rsidRDefault="008D5B53" w:rsidP="007424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482" w:rsidRDefault="00D27482">
    <w:pPr>
      <w:pStyle w:val="Header"/>
    </w:pPr>
  </w:p>
  <w:p w:rsidR="00D27482" w:rsidRDefault="00D27482">
    <w:pPr>
      <w:pStyle w:val="Header"/>
    </w:pPr>
  </w:p>
  <w:p w:rsidR="00D27482" w:rsidRDefault="00D27482">
    <w:pPr>
      <w:pStyle w:val="Header"/>
    </w:pPr>
  </w:p>
  <w:p w:rsidR="00D27482" w:rsidRDefault="00D27482">
    <w:pPr>
      <w:pStyle w:val="Header"/>
    </w:pPr>
  </w:p>
  <w:p w:rsidR="00D27482" w:rsidRDefault="00D27482">
    <w:pPr>
      <w:pStyle w:val="Header"/>
    </w:pPr>
  </w:p>
  <w:p w:rsidR="00D27482" w:rsidRDefault="00D2748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42412"/>
    <w:rsid w:val="000072BF"/>
    <w:rsid w:val="000A0D77"/>
    <w:rsid w:val="000B107B"/>
    <w:rsid w:val="000D1F2D"/>
    <w:rsid w:val="00100DFD"/>
    <w:rsid w:val="00117672"/>
    <w:rsid w:val="00141894"/>
    <w:rsid w:val="0014533F"/>
    <w:rsid w:val="001652F5"/>
    <w:rsid w:val="00192DB8"/>
    <w:rsid w:val="001A0171"/>
    <w:rsid w:val="001A0AD1"/>
    <w:rsid w:val="00237F78"/>
    <w:rsid w:val="00242F54"/>
    <w:rsid w:val="002462E8"/>
    <w:rsid w:val="00250A64"/>
    <w:rsid w:val="00280122"/>
    <w:rsid w:val="00293B45"/>
    <w:rsid w:val="00387A2C"/>
    <w:rsid w:val="003D3C29"/>
    <w:rsid w:val="003F6F42"/>
    <w:rsid w:val="004475D8"/>
    <w:rsid w:val="00470176"/>
    <w:rsid w:val="00471A68"/>
    <w:rsid w:val="00495D5E"/>
    <w:rsid w:val="004C3314"/>
    <w:rsid w:val="004E21AD"/>
    <w:rsid w:val="0051741C"/>
    <w:rsid w:val="00542471"/>
    <w:rsid w:val="005C4095"/>
    <w:rsid w:val="005C7CA0"/>
    <w:rsid w:val="006B5EBC"/>
    <w:rsid w:val="00703A14"/>
    <w:rsid w:val="00712517"/>
    <w:rsid w:val="00742412"/>
    <w:rsid w:val="0075149E"/>
    <w:rsid w:val="007B5A4D"/>
    <w:rsid w:val="007E333F"/>
    <w:rsid w:val="007E5160"/>
    <w:rsid w:val="007F17D5"/>
    <w:rsid w:val="007F3493"/>
    <w:rsid w:val="00836E48"/>
    <w:rsid w:val="00880E92"/>
    <w:rsid w:val="008A4218"/>
    <w:rsid w:val="008D5B53"/>
    <w:rsid w:val="0095567D"/>
    <w:rsid w:val="00975772"/>
    <w:rsid w:val="009A3CEB"/>
    <w:rsid w:val="009B1559"/>
    <w:rsid w:val="009E12ED"/>
    <w:rsid w:val="009F5973"/>
    <w:rsid w:val="00A0081D"/>
    <w:rsid w:val="00A32540"/>
    <w:rsid w:val="00A40E4D"/>
    <w:rsid w:val="00A87AED"/>
    <w:rsid w:val="00A90A0E"/>
    <w:rsid w:val="00A937E1"/>
    <w:rsid w:val="00AB1DDF"/>
    <w:rsid w:val="00AF559E"/>
    <w:rsid w:val="00B15076"/>
    <w:rsid w:val="00B34BA5"/>
    <w:rsid w:val="00B91C5D"/>
    <w:rsid w:val="00B97A3D"/>
    <w:rsid w:val="00BB7658"/>
    <w:rsid w:val="00C278E3"/>
    <w:rsid w:val="00C42121"/>
    <w:rsid w:val="00C73F1B"/>
    <w:rsid w:val="00C762E5"/>
    <w:rsid w:val="00C80D1D"/>
    <w:rsid w:val="00C949A6"/>
    <w:rsid w:val="00CA4995"/>
    <w:rsid w:val="00CD3A1E"/>
    <w:rsid w:val="00CE54A0"/>
    <w:rsid w:val="00D27482"/>
    <w:rsid w:val="00D32D91"/>
    <w:rsid w:val="00D3495C"/>
    <w:rsid w:val="00D41216"/>
    <w:rsid w:val="00D51AF7"/>
    <w:rsid w:val="00D7179C"/>
    <w:rsid w:val="00DA744B"/>
    <w:rsid w:val="00DC3ADE"/>
    <w:rsid w:val="00E446F3"/>
    <w:rsid w:val="00E83D04"/>
    <w:rsid w:val="00EC1DB5"/>
    <w:rsid w:val="00EE22E6"/>
    <w:rsid w:val="00F03917"/>
    <w:rsid w:val="00F54E9E"/>
    <w:rsid w:val="00F85885"/>
    <w:rsid w:val="00FA78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DFD"/>
    <w:pPr>
      <w:ind w:left="36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24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42412"/>
    <w:pPr>
      <w:tabs>
        <w:tab w:val="center" w:pos="4680"/>
        <w:tab w:val="right" w:pos="9360"/>
      </w:tabs>
    </w:pPr>
  </w:style>
  <w:style w:type="character" w:customStyle="1" w:styleId="HeaderChar">
    <w:name w:val="Header Char"/>
    <w:basedOn w:val="DefaultParagraphFont"/>
    <w:link w:val="Header"/>
    <w:uiPriority w:val="99"/>
    <w:semiHidden/>
    <w:locked/>
    <w:rsid w:val="00742412"/>
    <w:rPr>
      <w:rFonts w:cs="Times New Roman"/>
    </w:rPr>
  </w:style>
  <w:style w:type="paragraph" w:styleId="Footer">
    <w:name w:val="footer"/>
    <w:basedOn w:val="Normal"/>
    <w:link w:val="FooterChar"/>
    <w:uiPriority w:val="99"/>
    <w:semiHidden/>
    <w:unhideWhenUsed/>
    <w:rsid w:val="00742412"/>
    <w:pPr>
      <w:tabs>
        <w:tab w:val="center" w:pos="4680"/>
        <w:tab w:val="right" w:pos="9360"/>
      </w:tabs>
    </w:pPr>
  </w:style>
  <w:style w:type="character" w:customStyle="1" w:styleId="FooterChar">
    <w:name w:val="Footer Char"/>
    <w:basedOn w:val="DefaultParagraphFont"/>
    <w:link w:val="Footer"/>
    <w:uiPriority w:val="99"/>
    <w:semiHidden/>
    <w:locked/>
    <w:rsid w:val="00742412"/>
    <w:rPr>
      <w:rFonts w:cs="Times New Roman"/>
    </w:rPr>
  </w:style>
  <w:style w:type="character" w:customStyle="1" w:styleId="apple-converted-space">
    <w:name w:val="apple-converted-space"/>
    <w:basedOn w:val="DefaultParagraphFont"/>
    <w:rsid w:val="0074241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Maureen</cp:lastModifiedBy>
  <cp:revision>2</cp:revision>
  <dcterms:created xsi:type="dcterms:W3CDTF">2013-06-05T23:46:00Z</dcterms:created>
  <dcterms:modified xsi:type="dcterms:W3CDTF">2013-06-05T23:46:00Z</dcterms:modified>
</cp:coreProperties>
</file>